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4059" w:val="left" w:leader="none"/>
        </w:tabs>
        <w:spacing w:before="38"/>
        <w:jc w:val="left"/>
      </w:pPr>
      <w:r>
        <w:rPr/>
        <w:t>STATE OF</w:t>
      </w:r>
      <w:r>
        <w:rPr>
          <w:spacing w:val="4"/>
        </w:rPr>
        <w:t> </w:t>
      </w:r>
      <w:r>
        <w:rPr/>
        <w:t>TEXAS</w:t>
        <w:tab/>
      </w:r>
      <w:r>
        <w:rPr>
          <w:position w:val="4"/>
        </w:rPr>
        <w:t>§</w:t>
      </w:r>
    </w:p>
    <w:p>
      <w:pPr>
        <w:tabs>
          <w:tab w:pos="4059" w:val="left" w:leader="none"/>
        </w:tabs>
        <w:spacing w:before="20"/>
        <w:ind w:left="119" w:right="0" w:firstLine="0"/>
        <w:jc w:val="left"/>
        <w:rPr>
          <w:b/>
          <w:sz w:val="22"/>
        </w:rPr>
      </w:pPr>
      <w:r>
        <w:rPr>
          <w:b/>
          <w:position w:val="1"/>
          <w:sz w:val="22"/>
        </w:rPr>
        <w:t>THE COUNTY OF</w:t>
      </w:r>
      <w:r>
        <w:rPr>
          <w:b/>
          <w:spacing w:val="1"/>
          <w:position w:val="1"/>
          <w:sz w:val="22"/>
        </w:rPr>
        <w:t> </w:t>
      </w:r>
      <w:r>
        <w:rPr>
          <w:b/>
          <w:position w:val="1"/>
          <w:sz w:val="22"/>
        </w:rPr>
        <w:t>YOUNG</w:t>
        <w:tab/>
      </w:r>
      <w:r>
        <w:rPr>
          <w:b/>
          <w:sz w:val="22"/>
        </w:rPr>
        <w:t>§</w:t>
      </w:r>
    </w:p>
    <w:p>
      <w:pPr>
        <w:pStyle w:val="BodyText"/>
        <w:spacing w:before="10"/>
        <w:rPr>
          <w:b/>
          <w:sz w:val="20"/>
        </w:rPr>
      </w:pPr>
    </w:p>
    <w:p>
      <w:pPr>
        <w:spacing w:before="0"/>
        <w:ind w:left="475" w:right="355" w:firstLine="0"/>
        <w:jc w:val="center"/>
        <w:rPr>
          <w:b/>
          <w:sz w:val="22"/>
        </w:rPr>
      </w:pPr>
      <w:r>
        <w:rPr>
          <w:b/>
          <w:sz w:val="22"/>
        </w:rPr>
        <w:t>AFFIDAVIT TO THE PUBLIC</w:t>
      </w:r>
    </w:p>
    <w:p>
      <w:pPr>
        <w:pStyle w:val="BodyText"/>
        <w:spacing w:before="4"/>
        <w:rPr>
          <w:b/>
          <w:sz w:val="24"/>
        </w:rPr>
      </w:pPr>
    </w:p>
    <w:p>
      <w:pPr>
        <w:spacing w:before="0"/>
        <w:ind w:left="475" w:right="355" w:firstLine="0"/>
        <w:jc w:val="center"/>
        <w:rPr>
          <w:b/>
          <w:sz w:val="22"/>
        </w:rPr>
      </w:pPr>
      <w:r>
        <w:rPr>
          <w:b/>
          <w:sz w:val="22"/>
        </w:rPr>
        <w:t>CERTIFICATION OF ON-SITE SEWAGE FACILITIES (OSSFs) REQUIRING A MAINTENANCE</w:t>
      </w:r>
    </w:p>
    <w:p>
      <w:pPr>
        <w:pStyle w:val="BodyText"/>
        <w:rPr>
          <w:b/>
          <w:sz w:val="20"/>
        </w:rPr>
      </w:pPr>
    </w:p>
    <w:p>
      <w:pPr>
        <w:pStyle w:val="BodyText"/>
        <w:spacing w:before="8"/>
        <w:rPr>
          <w:b/>
          <w:sz w:val="19"/>
        </w:rPr>
      </w:pPr>
    </w:p>
    <w:p>
      <w:pPr>
        <w:pStyle w:val="BodyText"/>
        <w:spacing w:line="252" w:lineRule="auto" w:before="92"/>
        <w:ind w:left="119" w:right="329"/>
      </w:pPr>
      <w:r>
        <w:rPr/>
        <w:t>According to Texas Commission on Environmental Quality (TCEQ) Rules for On-Site Sewage Facilities (OSSFs), this document is filed in the Deed Records of Young County, Texas.</w:t>
      </w:r>
    </w:p>
    <w:p>
      <w:pPr>
        <w:pStyle w:val="BodyText"/>
        <w:spacing w:before="2"/>
        <w:rPr>
          <w:sz w:val="21"/>
        </w:rPr>
      </w:pPr>
    </w:p>
    <w:p>
      <w:pPr>
        <w:pStyle w:val="Heading1"/>
        <w:ind w:left="0"/>
      </w:pPr>
      <w:r>
        <w:rPr>
          <w:w w:val="100"/>
        </w:rPr>
        <w:t>I</w:t>
      </w:r>
    </w:p>
    <w:p>
      <w:pPr>
        <w:pStyle w:val="BodyText"/>
        <w:spacing w:before="11"/>
        <w:rPr>
          <w:b/>
          <w:sz w:val="23"/>
        </w:rPr>
      </w:pPr>
    </w:p>
    <w:p>
      <w:pPr>
        <w:pStyle w:val="BodyText"/>
        <w:spacing w:line="259" w:lineRule="auto"/>
        <w:ind w:left="119" w:right="120"/>
        <w:jc w:val="both"/>
      </w:pPr>
      <w:r>
        <w:rPr/>
        <w:t>The Texas Health and Safety Code, Chapter 366 authorizes the Texas Commission on Environmental Quality (TCEQ)</w:t>
      </w:r>
      <w:r>
        <w:rPr>
          <w:spacing w:val="34"/>
        </w:rPr>
        <w:t> </w:t>
      </w:r>
      <w:r>
        <w:rPr/>
        <w:t>to</w:t>
      </w:r>
      <w:r>
        <w:rPr>
          <w:spacing w:val="34"/>
        </w:rPr>
        <w:t> </w:t>
      </w:r>
      <w:r>
        <w:rPr/>
        <w:t>regulate</w:t>
      </w:r>
      <w:r>
        <w:rPr>
          <w:spacing w:val="34"/>
        </w:rPr>
        <w:t> </w:t>
      </w:r>
      <w:r>
        <w:rPr/>
        <w:t>on-site</w:t>
      </w:r>
      <w:r>
        <w:rPr>
          <w:spacing w:val="34"/>
        </w:rPr>
        <w:t> </w:t>
      </w:r>
      <w:r>
        <w:rPr/>
        <w:t>sewage</w:t>
      </w:r>
      <w:r>
        <w:rPr>
          <w:spacing w:val="34"/>
        </w:rPr>
        <w:t> </w:t>
      </w:r>
      <w:r>
        <w:rPr/>
        <w:t>facilities</w:t>
      </w:r>
      <w:r>
        <w:rPr>
          <w:spacing w:val="33"/>
        </w:rPr>
        <w:t> </w:t>
      </w:r>
      <w:r>
        <w:rPr/>
        <w:t>(OSSFs).</w:t>
      </w:r>
      <w:r>
        <w:rPr>
          <w:spacing w:val="34"/>
        </w:rPr>
        <w:t> </w:t>
      </w:r>
      <w:r>
        <w:rPr/>
        <w:t>Additionally,</w:t>
      </w:r>
      <w:r>
        <w:rPr>
          <w:spacing w:val="34"/>
        </w:rPr>
        <w:t> </w:t>
      </w:r>
      <w:r>
        <w:rPr/>
        <w:t>the</w:t>
      </w:r>
      <w:r>
        <w:rPr>
          <w:spacing w:val="34"/>
        </w:rPr>
        <w:t> </w:t>
      </w:r>
      <w:r>
        <w:rPr/>
        <w:t>Texas</w:t>
      </w:r>
      <w:r>
        <w:rPr>
          <w:spacing w:val="34"/>
        </w:rPr>
        <w:t> </w:t>
      </w:r>
      <w:r>
        <w:rPr/>
        <w:t>Water</w:t>
      </w:r>
      <w:r>
        <w:rPr>
          <w:spacing w:val="34"/>
        </w:rPr>
        <w:t> </w:t>
      </w:r>
      <w:r>
        <w:rPr/>
        <w:t>Code</w:t>
      </w:r>
      <w:r>
        <w:rPr>
          <w:spacing w:val="34"/>
        </w:rPr>
        <w:t> </w:t>
      </w:r>
      <w:r>
        <w:rPr/>
        <w:t>(TWC),</w:t>
      </w:r>
      <w:r>
        <w:rPr>
          <w:spacing w:val="34"/>
        </w:rPr>
        <w:t> </w:t>
      </w:r>
      <w:r>
        <w:rPr/>
        <w:t>§5.012</w:t>
      </w:r>
      <w:r>
        <w:rPr>
          <w:spacing w:val="34"/>
        </w:rPr>
        <w:t> </w:t>
      </w:r>
      <w:r>
        <w:rPr>
          <w:spacing w:val="-6"/>
        </w:rPr>
        <w:t>and</w:t>
      </w:r>
    </w:p>
    <w:p>
      <w:pPr>
        <w:pStyle w:val="BodyText"/>
        <w:spacing w:line="234" w:lineRule="exact"/>
        <w:ind w:left="119"/>
        <w:jc w:val="both"/>
      </w:pPr>
      <w:r>
        <w:rPr/>
        <w:t>§5.013,</w:t>
      </w:r>
      <w:r>
        <w:rPr>
          <w:spacing w:val="17"/>
        </w:rPr>
        <w:t> </w:t>
      </w:r>
      <w:r>
        <w:rPr/>
        <w:t>gives</w:t>
      </w:r>
      <w:r>
        <w:rPr>
          <w:spacing w:val="17"/>
        </w:rPr>
        <w:t> </w:t>
      </w:r>
      <w:r>
        <w:rPr/>
        <w:t>TCEQ</w:t>
      </w:r>
      <w:r>
        <w:rPr>
          <w:spacing w:val="18"/>
        </w:rPr>
        <w:t> </w:t>
      </w:r>
      <w:r>
        <w:rPr/>
        <w:t>primary</w:t>
      </w:r>
      <w:r>
        <w:rPr>
          <w:spacing w:val="17"/>
        </w:rPr>
        <w:t> </w:t>
      </w:r>
      <w:r>
        <w:rPr/>
        <w:t>responsibility</w:t>
      </w:r>
      <w:r>
        <w:rPr>
          <w:spacing w:val="17"/>
        </w:rPr>
        <w:t> </w:t>
      </w:r>
      <w:r>
        <w:rPr/>
        <w:t>for</w:t>
      </w:r>
      <w:r>
        <w:rPr>
          <w:spacing w:val="18"/>
        </w:rPr>
        <w:t> </w:t>
      </w:r>
      <w:r>
        <w:rPr/>
        <w:t>implementing</w:t>
      </w:r>
      <w:r>
        <w:rPr>
          <w:spacing w:val="17"/>
        </w:rPr>
        <w:t> </w:t>
      </w:r>
      <w:r>
        <w:rPr/>
        <w:t>the</w:t>
      </w:r>
      <w:r>
        <w:rPr>
          <w:spacing w:val="17"/>
        </w:rPr>
        <w:t> </w:t>
      </w:r>
      <w:r>
        <w:rPr/>
        <w:t>laws</w:t>
      </w:r>
      <w:r>
        <w:rPr>
          <w:spacing w:val="18"/>
        </w:rPr>
        <w:t> </w:t>
      </w:r>
      <w:r>
        <w:rPr/>
        <w:t>of</w:t>
      </w:r>
      <w:r>
        <w:rPr>
          <w:spacing w:val="17"/>
        </w:rPr>
        <w:t> </w:t>
      </w:r>
      <w:r>
        <w:rPr/>
        <w:t>the</w:t>
      </w:r>
      <w:r>
        <w:rPr>
          <w:spacing w:val="17"/>
        </w:rPr>
        <w:t> </w:t>
      </w:r>
      <w:r>
        <w:rPr/>
        <w:t>State</w:t>
      </w:r>
      <w:r>
        <w:rPr>
          <w:spacing w:val="18"/>
        </w:rPr>
        <w:t> </w:t>
      </w:r>
      <w:r>
        <w:rPr/>
        <w:t>of</w:t>
      </w:r>
      <w:r>
        <w:rPr>
          <w:spacing w:val="17"/>
        </w:rPr>
        <w:t> </w:t>
      </w:r>
      <w:r>
        <w:rPr/>
        <w:t>Texas</w:t>
      </w:r>
      <w:r>
        <w:rPr>
          <w:spacing w:val="17"/>
        </w:rPr>
        <w:t> </w:t>
      </w:r>
      <w:r>
        <w:rPr/>
        <w:t>relating</w:t>
      </w:r>
      <w:r>
        <w:rPr>
          <w:spacing w:val="18"/>
        </w:rPr>
        <w:t> </w:t>
      </w:r>
      <w:r>
        <w:rPr/>
        <w:t>to</w:t>
      </w:r>
      <w:r>
        <w:rPr>
          <w:spacing w:val="17"/>
        </w:rPr>
        <w:t> </w:t>
      </w:r>
      <w:r>
        <w:rPr/>
        <w:t>water</w:t>
      </w:r>
      <w:r>
        <w:rPr>
          <w:spacing w:val="17"/>
        </w:rPr>
        <w:t> </w:t>
      </w:r>
      <w:r>
        <w:rPr/>
        <w:t>and</w:t>
      </w:r>
    </w:p>
    <w:p>
      <w:pPr>
        <w:pStyle w:val="BodyText"/>
        <w:ind w:left="119" w:right="120"/>
        <w:jc w:val="both"/>
      </w:pPr>
      <w:r>
        <w:rPr/>
        <w:t>adopting rules necessary to carry out its powers and duties under the TWC. The TCEQ, under the authority of the TWC and the Texas Health and Safety Code, requires owners to provide notice to the public that certain types of OSSFs are located on specific pieces of property. To achieve this notice, the commission requires a recorded affidavit. Additionally, the owner must provide proof of the recording to the OSSF permitting authority. This recorded affidavit is not a representation or warranty by the TCEQ of the suitability of this OSSF, nor does it constitute any guarantee by the TCEQ that the appropriate OSSF was installed.</w:t>
      </w:r>
    </w:p>
    <w:p>
      <w:pPr>
        <w:pStyle w:val="BodyText"/>
        <w:spacing w:before="10"/>
      </w:pPr>
    </w:p>
    <w:p>
      <w:pPr>
        <w:pStyle w:val="Heading1"/>
        <w:ind w:left="355" w:right="355"/>
      </w:pPr>
      <w:r>
        <w:rPr/>
        <w:t>II</w:t>
      </w:r>
    </w:p>
    <w:p>
      <w:pPr>
        <w:pStyle w:val="BodyText"/>
        <w:spacing w:before="10"/>
        <w:rPr>
          <w:b/>
          <w:sz w:val="23"/>
        </w:rPr>
      </w:pPr>
    </w:p>
    <w:p>
      <w:pPr>
        <w:pStyle w:val="BodyText"/>
        <w:ind w:left="119" w:right="329"/>
      </w:pPr>
      <w:r>
        <w:rPr/>
        <w:t>An OSSF requiring a maintenance contract, according to 30 Texas Administrative Code §285.91(12) will be installed on the property described as:</w:t>
      </w:r>
    </w:p>
    <w:p>
      <w:pPr>
        <w:pStyle w:val="BodyText"/>
        <w:spacing w:before="5"/>
        <w:rPr>
          <w:sz w:val="24"/>
        </w:rPr>
      </w:pPr>
    </w:p>
    <w:p>
      <w:pPr>
        <w:pStyle w:val="BodyText"/>
        <w:tabs>
          <w:tab w:pos="10200" w:val="left" w:leader="none"/>
        </w:tabs>
        <w:spacing w:before="1"/>
        <w:ind w:left="119"/>
        <w:jc w:val="both"/>
      </w:pPr>
      <w:r>
        <w:rPr/>
        <w:t>Street</w:t>
      </w:r>
      <w:r>
        <w:rPr>
          <w:spacing w:val="6"/>
        </w:rPr>
        <w:t> </w:t>
      </w:r>
      <w:r>
        <w:rPr/>
        <w:t>Address:  </w:t>
      </w:r>
      <w:r>
        <w:rPr>
          <w:spacing w:val="1"/>
        </w:rPr>
        <w:t> </w:t>
      </w:r>
      <w:r>
        <w:rPr>
          <w:w w:val="100"/>
          <w:u w:val="single"/>
        </w:rPr>
        <w:t> </w:t>
      </w:r>
      <w:r>
        <w:rPr>
          <w:u w:val="single"/>
        </w:rPr>
        <w:tab/>
      </w:r>
    </w:p>
    <w:p>
      <w:pPr>
        <w:pStyle w:val="BodyText"/>
        <w:spacing w:before="10"/>
        <w:rPr>
          <w:sz w:val="18"/>
        </w:rPr>
      </w:pPr>
    </w:p>
    <w:p>
      <w:pPr>
        <w:pStyle w:val="BodyText"/>
        <w:tabs>
          <w:tab w:pos="10215" w:val="left" w:leader="none"/>
        </w:tabs>
        <w:spacing w:before="62"/>
        <w:ind w:left="119"/>
      </w:pPr>
      <w:r>
        <w:rPr/>
        <w:t>Legal</w:t>
      </w:r>
      <w:r>
        <w:rPr>
          <w:spacing w:val="8"/>
        </w:rPr>
        <w:t> </w:t>
      </w:r>
      <w:r>
        <w:rPr/>
        <w:t>Description: </w:t>
      </w:r>
      <w:r>
        <w:rPr>
          <w:spacing w:val="-2"/>
        </w:rPr>
        <w:t> </w:t>
      </w:r>
      <w:r>
        <w:rPr>
          <w:w w:val="100"/>
          <w:u w:val="single"/>
        </w:rPr>
        <w:t> </w:t>
      </w:r>
      <w:r>
        <w:rPr>
          <w:u w:val="single"/>
        </w:rPr>
        <w:tab/>
      </w:r>
    </w:p>
    <w:p>
      <w:pPr>
        <w:pStyle w:val="BodyText"/>
        <w:spacing w:before="11"/>
        <w:rPr>
          <w:sz w:val="18"/>
        </w:rPr>
      </w:pPr>
    </w:p>
    <w:p>
      <w:pPr>
        <w:pStyle w:val="BodyText"/>
        <w:tabs>
          <w:tab w:pos="10140" w:val="left" w:leader="none"/>
        </w:tabs>
        <w:spacing w:before="62"/>
        <w:ind w:left="119"/>
      </w:pPr>
      <w:r>
        <w:rPr/>
        <w:t>The property is owned by [Owner(s)’s Printed Full</w:t>
      </w:r>
      <w:r>
        <w:rPr>
          <w:spacing w:val="14"/>
        </w:rPr>
        <w:t> </w:t>
      </w:r>
      <w:r>
        <w:rPr/>
        <w:t>Name(s)]: </w:t>
      </w:r>
      <w:r>
        <w:rPr>
          <w:spacing w:val="-2"/>
        </w:rPr>
        <w:t> </w:t>
      </w:r>
      <w:r>
        <w:rPr>
          <w:w w:val="100"/>
          <w:u w:val="single"/>
        </w:rPr>
        <w:t> </w:t>
      </w:r>
      <w:r>
        <w:rPr>
          <w:u w:val="single"/>
        </w:rPr>
        <w:tab/>
      </w:r>
    </w:p>
    <w:p>
      <w:pPr>
        <w:pStyle w:val="BodyText"/>
        <w:spacing w:before="11"/>
        <w:rPr>
          <w:sz w:val="18"/>
        </w:rPr>
      </w:pPr>
    </w:p>
    <w:p>
      <w:pPr>
        <w:pStyle w:val="BodyText"/>
        <w:spacing w:line="247" w:lineRule="auto" w:before="62"/>
        <w:ind w:left="119" w:right="206"/>
        <w:jc w:val="both"/>
      </w:pPr>
      <w:r>
        <w:rPr/>
        <w:t>This OSSF shall be covered by a continuous service policy for the first two years. After the initial two-year service policy, the owner of an aerobic treatment system shall enter into a new continuous maintenance contract within 30 days with a licensed TCEQ maintenance provider, and a signed maintenance contract must be submitted to Young County Permitting &amp; Public Service Office.</w:t>
      </w:r>
    </w:p>
    <w:p>
      <w:pPr>
        <w:pStyle w:val="BodyText"/>
        <w:spacing w:before="9"/>
        <w:rPr>
          <w:sz w:val="21"/>
        </w:rPr>
      </w:pPr>
    </w:p>
    <w:p>
      <w:pPr>
        <w:pStyle w:val="BodyText"/>
        <w:spacing w:line="249" w:lineRule="auto"/>
        <w:ind w:left="119" w:right="120"/>
        <w:jc w:val="both"/>
      </w:pPr>
      <w:r>
        <w:rPr/>
        <w:t>Upon sale or transfer of the above-described property, the permit for the OSSF shall be transferred to the buyer or new owner. A copy of the planning materials for the OSSF can be obtained from Young County Permitting &amp; Public Service Office, located at, 516 Fourth St., Room B5, Graham, TX,</w:t>
      </w:r>
      <w:r>
        <w:rPr>
          <w:spacing w:val="-1"/>
        </w:rPr>
        <w:t> </w:t>
      </w:r>
      <w:r>
        <w:rPr/>
        <w:t>76450.</w:t>
      </w:r>
    </w:p>
    <w:p>
      <w:pPr>
        <w:pStyle w:val="BodyText"/>
        <w:rPr>
          <w:sz w:val="23"/>
        </w:rPr>
      </w:pPr>
    </w:p>
    <w:p>
      <w:pPr>
        <w:tabs>
          <w:tab w:pos="4304" w:val="left" w:leader="none"/>
          <w:tab w:pos="9107" w:val="left" w:leader="none"/>
          <w:tab w:pos="10005" w:val="left" w:leader="none"/>
        </w:tabs>
        <w:spacing w:before="0"/>
        <w:ind w:left="119" w:right="0" w:firstLine="0"/>
        <w:jc w:val="both"/>
        <w:rPr>
          <w:sz w:val="20"/>
        </w:rPr>
      </w:pPr>
      <w:r>
        <w:rPr>
          <w:b/>
          <w:sz w:val="20"/>
        </w:rPr>
        <w:t>WITNESS BY HAND(S)</w:t>
      </w:r>
      <w:r>
        <w:rPr>
          <w:b/>
          <w:spacing w:val="-5"/>
          <w:sz w:val="20"/>
        </w:rPr>
        <w:t> </w:t>
      </w:r>
      <w:r>
        <w:rPr>
          <w:b/>
          <w:sz w:val="20"/>
        </w:rPr>
        <w:t>ON</w:t>
      </w:r>
      <w:r>
        <w:rPr>
          <w:b/>
          <w:spacing w:val="-2"/>
          <w:sz w:val="20"/>
        </w:rPr>
        <w:t> </w:t>
      </w:r>
      <w:r>
        <w:rPr>
          <w:b/>
          <w:sz w:val="20"/>
        </w:rPr>
        <w:t>THIS</w:t>
      </w:r>
      <w:r>
        <w:rPr>
          <w:b/>
          <w:sz w:val="20"/>
          <w:u w:val="single"/>
        </w:rPr>
        <w:t> </w:t>
        <w:tab/>
      </w:r>
      <w:r>
        <w:rPr>
          <w:b/>
          <w:sz w:val="20"/>
        </w:rPr>
        <w:t>DAY OF</w:t>
      </w:r>
      <w:r>
        <w:rPr>
          <w:b/>
          <w:sz w:val="20"/>
          <w:u w:val="single"/>
        </w:rPr>
        <w:t> </w:t>
        <w:tab/>
      </w:r>
      <w:r>
        <w:rPr>
          <w:sz w:val="20"/>
        </w:rPr>
        <w:t>,</w:t>
      </w:r>
      <w:r>
        <w:rPr>
          <w:spacing w:val="-3"/>
          <w:sz w:val="20"/>
        </w:rPr>
        <w:t> </w:t>
      </w:r>
      <w:r>
        <w:rPr>
          <w:sz w:val="20"/>
        </w:rPr>
        <w:t>20</w:t>
      </w:r>
      <w:r>
        <w:rPr>
          <w:sz w:val="20"/>
          <w:u w:val="single"/>
        </w:rPr>
        <w:t> </w:t>
        <w:tab/>
      </w:r>
      <w:r>
        <w:rPr>
          <w:sz w:val="20"/>
        </w:rPr>
        <w:t>.</w:t>
      </w:r>
    </w:p>
    <w:p>
      <w:pPr>
        <w:pStyle w:val="BodyText"/>
        <w:rPr>
          <w:sz w:val="20"/>
        </w:rPr>
      </w:pPr>
    </w:p>
    <w:p>
      <w:pPr>
        <w:pStyle w:val="BodyText"/>
        <w:spacing w:before="7"/>
        <w:rPr>
          <w:sz w:val="12"/>
        </w:rPr>
      </w:pPr>
      <w:r>
        <w:rPr/>
        <w:pict>
          <v:shape style="position:absolute;margin-left:281.81601pt;margin-top:9.465623pt;width:284.1pt;height:.1pt;mso-position-horizontal-relative:page;mso-position-vertical-relative:paragraph;z-index:-251658240;mso-wrap-distance-left:0;mso-wrap-distance-right:0" coordorigin="5636,189" coordsize="5682,0" path="m5636,189l11318,189e" filled="false" stroked="true" strokeweight=".498pt" strokecolor="#000000">
            <v:path arrowok="t"/>
            <v:stroke dashstyle="solid"/>
            <w10:wrap type="topAndBottom"/>
          </v:shape>
        </w:pict>
      </w:r>
    </w:p>
    <w:p>
      <w:pPr>
        <w:pStyle w:val="BodyText"/>
        <w:rPr>
          <w:sz w:val="20"/>
        </w:rPr>
      </w:pPr>
    </w:p>
    <w:p>
      <w:pPr>
        <w:pStyle w:val="BodyText"/>
        <w:spacing w:before="9"/>
        <w:rPr>
          <w:sz w:val="14"/>
        </w:rPr>
      </w:pPr>
      <w:r>
        <w:rPr/>
        <w:pict>
          <v:group style="position:absolute;margin-left:284.315002pt;margin-top:10.465978pt;width:282.6pt;height:.5pt;mso-position-horizontal-relative:page;mso-position-vertical-relative:paragraph;z-index:-251657216;mso-wrap-distance-left:0;mso-wrap-distance-right:0" coordorigin="5686,209" coordsize="5652,10">
            <v:line style="position:absolute" from="5686,214" to="7289,214" stroked="true" strokeweight=".498pt" strokecolor="#000000">
              <v:stroke dashstyle="solid"/>
            </v:line>
            <v:line style="position:absolute" from="7338,214" to="11338,214" stroked="true" strokeweight=".498pt" strokecolor="#000000">
              <v:stroke dashstyle="solid"/>
            </v:line>
            <w10:wrap type="topAndBottom"/>
          </v:group>
        </w:pict>
      </w:r>
    </w:p>
    <w:p>
      <w:pPr>
        <w:pStyle w:val="BodyText"/>
        <w:spacing w:before="31"/>
        <w:ind w:left="4759"/>
        <w:rPr>
          <w:sz w:val="20"/>
        </w:rPr>
      </w:pPr>
      <w:r>
        <w:rPr>
          <w:sz w:val="20"/>
        </w:rPr>
        <w:t>[</w:t>
      </w:r>
      <w:r>
        <w:rPr/>
        <w:t>Owner(s)’s Signature(s</w:t>
      </w:r>
      <w:r>
        <w:rPr>
          <w:sz w:val="20"/>
        </w:rPr>
        <w:t>)]</w:t>
      </w:r>
    </w:p>
    <w:p>
      <w:pPr>
        <w:pStyle w:val="BodyText"/>
      </w:pPr>
    </w:p>
    <w:p>
      <w:pPr>
        <w:pStyle w:val="BodyText"/>
        <w:spacing w:before="4"/>
        <w:rPr>
          <w:sz w:val="29"/>
        </w:rPr>
      </w:pPr>
    </w:p>
    <w:p>
      <w:pPr>
        <w:tabs>
          <w:tab w:pos="6181" w:val="left" w:leader="none"/>
          <w:tab w:pos="9286" w:val="left" w:leader="none"/>
          <w:tab w:pos="10084" w:val="left" w:leader="none"/>
        </w:tabs>
        <w:spacing w:before="0"/>
        <w:ind w:left="175" w:right="0" w:firstLine="0"/>
        <w:jc w:val="left"/>
        <w:rPr>
          <w:sz w:val="20"/>
        </w:rPr>
      </w:pPr>
      <w:r>
        <w:rPr>
          <w:b/>
          <w:sz w:val="20"/>
        </w:rPr>
        <w:t>SWORN TO AND SUBSCRIBED BEFORE ME</w:t>
      </w:r>
      <w:r>
        <w:rPr>
          <w:b/>
          <w:spacing w:val="-12"/>
          <w:sz w:val="20"/>
        </w:rPr>
        <w:t> </w:t>
      </w:r>
      <w:r>
        <w:rPr>
          <w:b/>
          <w:sz w:val="20"/>
        </w:rPr>
        <w:t>ON</w:t>
      </w:r>
      <w:r>
        <w:rPr>
          <w:b/>
          <w:spacing w:val="-1"/>
          <w:sz w:val="20"/>
        </w:rPr>
        <w:t> </w:t>
      </w:r>
      <w:r>
        <w:rPr>
          <w:b/>
          <w:sz w:val="20"/>
        </w:rPr>
        <w:t>THIS</w:t>
      </w:r>
      <w:r>
        <w:rPr>
          <w:b/>
          <w:sz w:val="20"/>
          <w:u w:val="single"/>
        </w:rPr>
        <w:t> </w:t>
        <w:tab/>
      </w:r>
      <w:r>
        <w:rPr>
          <w:b/>
          <w:sz w:val="20"/>
        </w:rPr>
        <w:t>DAY</w:t>
      </w:r>
      <w:r>
        <w:rPr>
          <w:b/>
          <w:spacing w:val="-1"/>
          <w:sz w:val="20"/>
        </w:rPr>
        <w:t> </w:t>
      </w:r>
      <w:r>
        <w:rPr>
          <w:b/>
          <w:sz w:val="20"/>
        </w:rPr>
        <w:t>OF</w:t>
      </w:r>
      <w:r>
        <w:rPr>
          <w:b/>
          <w:sz w:val="20"/>
          <w:u w:val="single"/>
        </w:rPr>
        <w:t> </w:t>
        <w:tab/>
      </w:r>
      <w:r>
        <w:rPr>
          <w:sz w:val="20"/>
        </w:rPr>
        <w:t>,</w:t>
      </w:r>
      <w:r>
        <w:rPr>
          <w:spacing w:val="-2"/>
          <w:sz w:val="20"/>
        </w:rPr>
        <w:t> </w:t>
      </w:r>
      <w:r>
        <w:rPr>
          <w:sz w:val="20"/>
        </w:rPr>
        <w:t>20</w:t>
      </w:r>
      <w:r>
        <w:rPr>
          <w:sz w:val="20"/>
          <w:u w:val="single"/>
        </w:rPr>
        <w:t> </w:t>
        <w:tab/>
      </w:r>
      <w:r>
        <w:rPr>
          <w:sz w:val="20"/>
        </w:rPr>
        <w:t>.</w:t>
      </w:r>
    </w:p>
    <w:p>
      <w:pPr>
        <w:pStyle w:val="BodyText"/>
        <w:rPr>
          <w:sz w:val="20"/>
        </w:rPr>
      </w:pPr>
    </w:p>
    <w:p>
      <w:pPr>
        <w:pStyle w:val="BodyText"/>
        <w:rPr>
          <w:sz w:val="20"/>
        </w:rPr>
      </w:pPr>
    </w:p>
    <w:p>
      <w:pPr>
        <w:pStyle w:val="BodyText"/>
        <w:spacing w:before="9"/>
        <w:rPr>
          <w:sz w:val="10"/>
        </w:rPr>
      </w:pPr>
      <w:r>
        <w:rPr/>
        <w:pict>
          <v:shape style="position:absolute;margin-left:267.120148pt;margin-top:8.416389pt;width:285pt;height:.1pt;mso-position-horizontal-relative:page;mso-position-vertical-relative:paragraph;z-index:-251656192;mso-wrap-distance-left:0;mso-wrap-distance-right:0" coordorigin="5342,168" coordsize="5700,0" path="m5342,168l11042,168e" filled="false" stroked="true" strokeweight=".498349pt" strokecolor="#000000">
            <v:path arrowok="t"/>
            <v:stroke dashstyle="solid"/>
            <w10:wrap type="topAndBottom"/>
          </v:shape>
        </w:pict>
      </w:r>
    </w:p>
    <w:p>
      <w:pPr>
        <w:pStyle w:val="BodyText"/>
        <w:spacing w:before="32"/>
        <w:ind w:left="4615"/>
      </w:pPr>
      <w:r>
        <w:rPr/>
        <w:t>Notary Public, State of Texas</w:t>
      </w:r>
    </w:p>
    <w:p>
      <w:pPr>
        <w:pStyle w:val="BodyText"/>
        <w:rPr>
          <w:sz w:val="20"/>
        </w:rPr>
      </w:pPr>
    </w:p>
    <w:p>
      <w:pPr>
        <w:pStyle w:val="BodyText"/>
        <w:spacing w:before="11"/>
        <w:rPr>
          <w:sz w:val="24"/>
        </w:rPr>
      </w:pPr>
      <w:r>
        <w:rPr/>
        <w:pict>
          <v:shape style="position:absolute;margin-left:265.799896pt;margin-top:16.549946pt;width:290.150pt;height:.1pt;mso-position-horizontal-relative:page;mso-position-vertical-relative:paragraph;z-index:-251655168;mso-wrap-distance-left:0;mso-wrap-distance-right:0" coordorigin="5316,331" coordsize="5803,0" path="m5316,331l11118,331e" filled="false" stroked="true" strokeweight=".498349pt" strokecolor="#000000">
            <v:path arrowok="t"/>
            <v:stroke dashstyle="solid"/>
            <w10:wrap type="topAndBottom"/>
          </v:shape>
        </w:pict>
      </w:r>
    </w:p>
    <w:p>
      <w:pPr>
        <w:pStyle w:val="BodyText"/>
        <w:spacing w:line="243" w:lineRule="exact"/>
        <w:ind w:left="4800"/>
      </w:pPr>
      <w:r>
        <w:rPr/>
        <w:t>Notary’s Printed Name</w:t>
      </w:r>
    </w:p>
    <w:p>
      <w:pPr>
        <w:pStyle w:val="BodyText"/>
        <w:spacing w:before="9"/>
        <w:rPr>
          <w:sz w:val="21"/>
        </w:rPr>
      </w:pPr>
    </w:p>
    <w:p>
      <w:pPr>
        <w:pStyle w:val="BodyText"/>
        <w:tabs>
          <w:tab w:pos="10194" w:val="left" w:leader="none"/>
        </w:tabs>
        <w:ind w:left="4800"/>
      </w:pPr>
      <w:r>
        <w:rPr/>
        <w:t>My Commission</w:t>
      </w:r>
      <w:r>
        <w:rPr>
          <w:spacing w:val="-7"/>
        </w:rPr>
        <w:t> </w:t>
      </w:r>
      <w:r>
        <w:rPr/>
        <w:t>Expires: </w:t>
      </w:r>
      <w:r>
        <w:rPr>
          <w:spacing w:val="-1"/>
        </w:rPr>
        <w:t> </w:t>
      </w:r>
      <w:r>
        <w:rPr>
          <w:w w:val="100"/>
          <w:u w:val="single"/>
        </w:rPr>
        <w:t> </w:t>
      </w:r>
      <w:r>
        <w:rPr>
          <w:u w:val="single"/>
        </w:rPr>
        <w:tab/>
      </w:r>
    </w:p>
    <w:p>
      <w:pPr>
        <w:pStyle w:val="BodyText"/>
        <w:rPr>
          <w:sz w:val="20"/>
        </w:rPr>
      </w:pPr>
    </w:p>
    <w:p>
      <w:pPr>
        <w:pStyle w:val="BodyText"/>
        <w:spacing w:before="4"/>
        <w:rPr>
          <w:sz w:val="24"/>
        </w:rPr>
      </w:pPr>
    </w:p>
    <w:p>
      <w:pPr>
        <w:spacing w:before="69"/>
        <w:ind w:left="404" w:right="0" w:firstLine="0"/>
        <w:jc w:val="left"/>
        <w:rPr>
          <w:b/>
          <w:sz w:val="19"/>
        </w:rPr>
      </w:pPr>
      <w:r>
        <w:rPr/>
        <w:pict>
          <v:shape style="position:absolute;margin-left:273.600006pt;margin-top:-19.101059pt;width:288pt;height:145.7pt;mso-position-horizontal-relative:page;mso-position-vertical-relative:paragraph;z-index:251665408" coordorigin="5472,-382" coordsize="5760,2914" path="m5957,-382l5885,-377,5817,-361,5753,-337,5693,-303,5639,-262,5591,-214,5550,-160,5517,-100,5493,-35,5477,33,5472,105,5472,2044,5477,2116,5493,2185,5517,2250,5550,2310,5591,2364,5639,2412,5693,2453,5753,2486,5817,2511,5885,2526,5957,2532,10747,2532,10819,2526,10887,2511,10951,2486,11011,2453,11065,2412,11113,2364,11154,2310,11187,2250,11211,2185,11227,2116,11232,2044,11232,105,11227,33,11211,-35,11187,-100,11154,-160,11113,-214,11065,-262,11011,-303,10951,-337,10887,-361,10819,-377,10747,-382,5957,-382xe" filled="false" stroked="true" strokeweight=".75pt" strokecolor="#959595">
            <v:path arrowok="t"/>
            <v:stroke dashstyle="solid"/>
            <w10:wrap type="none"/>
          </v:shape>
        </w:pict>
      </w:r>
      <w:r>
        <w:rPr>
          <w:b/>
          <w:sz w:val="19"/>
        </w:rPr>
        <w:t>After Recording, Please Return to:</w:t>
      </w:r>
    </w:p>
    <w:p>
      <w:pPr>
        <w:pStyle w:val="BodyText"/>
        <w:rPr>
          <w:b/>
          <w:sz w:val="20"/>
        </w:rPr>
      </w:pPr>
    </w:p>
    <w:p>
      <w:pPr>
        <w:pStyle w:val="BodyText"/>
        <w:spacing w:before="3"/>
        <w:rPr>
          <w:b/>
          <w:sz w:val="14"/>
        </w:rPr>
      </w:pPr>
      <w:r>
        <w:rPr/>
        <w:pict>
          <v:shape style="position:absolute;margin-left:68.2099pt;margin-top:10.445526pt;width:137.85pt;height:.1pt;mso-position-horizontal-relative:page;mso-position-vertical-relative:paragraph;z-index:-251654144;mso-wrap-distance-left:0;mso-wrap-distance-right:0" coordorigin="1364,209" coordsize="2757,0" path="m1364,209l4121,209e" filled="false" stroked="true" strokeweight=".474332pt" strokecolor="#000000">
            <v:path arrowok="t"/>
            <v:stroke dashstyle="solid"/>
            <w10:wrap type="topAndBottom"/>
          </v:shape>
        </w:pict>
      </w:r>
    </w:p>
    <w:p>
      <w:pPr>
        <w:pStyle w:val="BodyText"/>
        <w:rPr>
          <w:b/>
          <w:sz w:val="20"/>
        </w:rPr>
      </w:pPr>
    </w:p>
    <w:p>
      <w:pPr>
        <w:pStyle w:val="BodyText"/>
        <w:spacing w:before="3"/>
        <w:rPr>
          <w:b/>
          <w:sz w:val="13"/>
        </w:rPr>
      </w:pPr>
      <w:r>
        <w:rPr/>
        <w:pict>
          <v:shape style="position:absolute;margin-left:68.2099pt;margin-top:9.840978pt;width:137.85pt;height:.1pt;mso-position-horizontal-relative:page;mso-position-vertical-relative:paragraph;z-index:-251653120;mso-wrap-distance-left:0;mso-wrap-distance-right:0" coordorigin="1364,197" coordsize="2757,0" path="m1364,197l4121,197e" filled="false" stroked="true" strokeweight=".474332pt" strokecolor="#000000">
            <v:path arrowok="t"/>
            <v:stroke dashstyle="solid"/>
            <w10:wrap type="topAndBottom"/>
          </v:shape>
        </w:pict>
      </w:r>
    </w:p>
    <w:p>
      <w:pPr>
        <w:pStyle w:val="BodyText"/>
        <w:rPr>
          <w:b/>
          <w:sz w:val="20"/>
        </w:rPr>
      </w:pPr>
    </w:p>
    <w:p>
      <w:pPr>
        <w:pStyle w:val="BodyText"/>
        <w:rPr>
          <w:b/>
          <w:sz w:val="13"/>
        </w:rPr>
      </w:pPr>
      <w:r>
        <w:rPr/>
        <w:pict>
          <v:shape style="position:absolute;margin-left:68.2099pt;margin-top:9.720975pt;width:137.85pt;height:.1pt;mso-position-horizontal-relative:page;mso-position-vertical-relative:paragraph;z-index:-251652096;mso-wrap-distance-left:0;mso-wrap-distance-right:0" coordorigin="1364,194" coordsize="2757,0" path="m1364,194l4121,194e" filled="false" stroked="true" strokeweight=".474332pt" strokecolor="#000000">
            <v:path arrowok="t"/>
            <v:stroke dashstyle="solid"/>
            <w10:wrap type="topAndBottom"/>
          </v:shape>
        </w:pict>
      </w:r>
    </w:p>
    <w:sectPr>
      <w:type w:val="continuous"/>
      <w:pgSz w:w="12240" w:h="20160"/>
      <w:pgMar w:top="1040" w:bottom="0" w:left="9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19"/>
      <w:jc w:val="center"/>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nguyenl</dc:creator>
  <dc:title>Microsoft Word - Affidavit for Maintenance Contract for Two Adjacent Lots - Commercial.doc</dc:title>
  <dcterms:created xsi:type="dcterms:W3CDTF">2025-01-07T17:09:33Z</dcterms:created>
  <dcterms:modified xsi:type="dcterms:W3CDTF">2025-01-07T17:09:33Z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2011-07-28T00:00:00Z</vt:filetime>
  </property>
  <property fmtid="{D5CDD505-2E9C-101B-9397-08002B2CF9AE}" pid="3" name="Creator">
    <vt:lpwstr>PScript5.dll Version 5.2.2</vt:lpwstr>
  </property>
  <property fmtid="{D5CDD505-2E9C-101B-9397-08002B2CF9AE}" pid="4" name="LastSaved">
    <vt:filetime>2025-01-07T00:00:00Z</vt:filetime>
  </property>
</Properties>
</file>